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F0E8D" w:rsidRPr="003C7004">
        <w:rPr>
          <w:sz w:val="28"/>
          <w:szCs w:val="28"/>
        </w:rPr>
        <w:t>Gesamtkantenlänge</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F0E8D" w:rsidTr="00FF0E8D">
        <w:tc>
          <w:tcPr>
            <w:tcW w:w="2466" w:type="dxa"/>
            <w:vAlign w:val="center"/>
          </w:tcPr>
          <w:p w:rsidR="00FF0E8D" w:rsidRPr="00DE6A25" w:rsidRDefault="00FF0E8D" w:rsidP="008A099B">
            <w:pPr>
              <w:pStyle w:val="IQB-Merkmal"/>
            </w:pPr>
            <w:r w:rsidRPr="00DE6A25">
              <w:t>Leitidee</w:t>
            </w:r>
          </w:p>
        </w:tc>
        <w:tc>
          <w:tcPr>
            <w:tcW w:w="6604" w:type="dxa"/>
          </w:tcPr>
          <w:p w:rsidR="00FF0E8D" w:rsidRPr="00DE6A25" w:rsidRDefault="00FF0E8D" w:rsidP="008A099B">
            <w:pPr>
              <w:pStyle w:val="IQB-Merkmalswert"/>
              <w:rPr>
                <w:sz w:val="22"/>
                <w:szCs w:val="22"/>
              </w:rPr>
            </w:pPr>
            <w:r w:rsidRPr="00DE6A25">
              <w:rPr>
                <w:sz w:val="22"/>
                <w:szCs w:val="22"/>
              </w:rPr>
              <w:t>Messen (L2)</w:t>
            </w:r>
          </w:p>
        </w:tc>
      </w:tr>
      <w:tr w:rsidR="00FF0E8D" w:rsidTr="00FF0E8D">
        <w:tc>
          <w:tcPr>
            <w:tcW w:w="2466" w:type="dxa"/>
            <w:vAlign w:val="center"/>
          </w:tcPr>
          <w:p w:rsidR="00FF0E8D" w:rsidRPr="00DE6A25" w:rsidRDefault="00FF0E8D" w:rsidP="008A099B">
            <w:pPr>
              <w:pStyle w:val="IQB-Merkmal"/>
            </w:pPr>
            <w:r w:rsidRPr="00DE6A25">
              <w:t>Allgemeine Kompetenzen</w:t>
            </w:r>
          </w:p>
        </w:tc>
        <w:tc>
          <w:tcPr>
            <w:tcW w:w="6604" w:type="dxa"/>
          </w:tcPr>
          <w:p w:rsidR="00FF0E8D" w:rsidRDefault="00FF0E8D" w:rsidP="008A099B">
            <w:pPr>
              <w:pStyle w:val="IQB-Merkmalswert"/>
              <w:rPr>
                <w:sz w:val="22"/>
                <w:szCs w:val="22"/>
              </w:rPr>
            </w:pPr>
            <w:r w:rsidRPr="00DE6A25">
              <w:rPr>
                <w:sz w:val="22"/>
                <w:szCs w:val="22"/>
              </w:rPr>
              <w:t>Mathematisch</w:t>
            </w:r>
            <w:r>
              <w:rPr>
                <w:sz w:val="22"/>
                <w:szCs w:val="22"/>
              </w:rPr>
              <w:t>e Darstellungen verwenden (K4)</w:t>
            </w:r>
          </w:p>
          <w:p w:rsidR="00FF0E8D" w:rsidRPr="00DE6A25" w:rsidRDefault="00FF0E8D" w:rsidP="008A099B">
            <w:pPr>
              <w:pStyle w:val="IQB-Merkmalswert"/>
              <w:rPr>
                <w:sz w:val="22"/>
                <w:szCs w:val="22"/>
              </w:rPr>
            </w:pPr>
            <w:r w:rsidRPr="00DE6A25">
              <w:rPr>
                <w:sz w:val="22"/>
                <w:szCs w:val="22"/>
              </w:rPr>
              <w:t>Mit symbolischen, formalen und technischen Elementen der Mathematik umgehen (K5)</w:t>
            </w:r>
          </w:p>
        </w:tc>
      </w:tr>
      <w:tr w:rsidR="00FF0E8D" w:rsidTr="00FF0E8D">
        <w:tc>
          <w:tcPr>
            <w:tcW w:w="2466" w:type="dxa"/>
            <w:vAlign w:val="center"/>
          </w:tcPr>
          <w:p w:rsidR="00FF0E8D" w:rsidRPr="00DE6A25" w:rsidRDefault="00FF0E8D" w:rsidP="008A099B">
            <w:pPr>
              <w:pStyle w:val="IQB-Merkmal"/>
            </w:pPr>
            <w:r w:rsidRPr="00DE6A25">
              <w:t>Anforderungsbereich</w:t>
            </w:r>
          </w:p>
        </w:tc>
        <w:tc>
          <w:tcPr>
            <w:tcW w:w="6604" w:type="dxa"/>
          </w:tcPr>
          <w:p w:rsidR="00FF0E8D" w:rsidRPr="00DE6A25" w:rsidRDefault="00FF0E8D" w:rsidP="008A099B">
            <w:pPr>
              <w:pStyle w:val="IQB-Merkmalswert"/>
              <w:rPr>
                <w:sz w:val="22"/>
                <w:szCs w:val="22"/>
              </w:rPr>
            </w:pPr>
            <w:r w:rsidRPr="00DE6A25">
              <w:rPr>
                <w:sz w:val="22"/>
                <w:szCs w:val="22"/>
              </w:rPr>
              <w:t>I</w:t>
            </w:r>
          </w:p>
        </w:tc>
      </w:tr>
      <w:tr w:rsidR="00FF0E8D" w:rsidTr="00FF0E8D">
        <w:tc>
          <w:tcPr>
            <w:tcW w:w="2466" w:type="dxa"/>
            <w:vAlign w:val="center"/>
          </w:tcPr>
          <w:p w:rsidR="00FF0E8D" w:rsidRPr="00DE6A25" w:rsidRDefault="00FF0E8D" w:rsidP="008A099B">
            <w:pPr>
              <w:pStyle w:val="IQB-Merkmal"/>
            </w:pPr>
            <w:r w:rsidRPr="00DE6A25">
              <w:t>Kompetenzstufe</w:t>
            </w:r>
          </w:p>
        </w:tc>
        <w:tc>
          <w:tcPr>
            <w:tcW w:w="6604" w:type="dxa"/>
          </w:tcPr>
          <w:p w:rsidR="00FF0E8D" w:rsidRPr="00DE6A25" w:rsidRDefault="00FF0E8D" w:rsidP="008A099B">
            <w:pPr>
              <w:pStyle w:val="IQB-Merkmalswert"/>
              <w:rPr>
                <w:sz w:val="22"/>
                <w:szCs w:val="22"/>
              </w:rPr>
            </w:pPr>
            <w:r w:rsidRPr="00DE6A25">
              <w:rPr>
                <w:sz w:val="22"/>
                <w:szCs w:val="22"/>
              </w:rPr>
              <w:t>1b</w:t>
            </w:r>
          </w:p>
        </w:tc>
      </w:tr>
    </w:tbl>
    <w:p w:rsidR="00694A63" w:rsidRPr="00694A63" w:rsidRDefault="00694A63" w:rsidP="00694A63">
      <w:pPr>
        <w:pStyle w:val="IQB-Teilaufgabentitel"/>
        <w:rPr>
          <w:b/>
        </w:rPr>
      </w:pPr>
      <w:r w:rsidRPr="00694A63">
        <w:rPr>
          <w:b/>
        </w:rPr>
        <w:t>Aufgabenbezogener Kommentar</w:t>
      </w:r>
    </w:p>
    <w:p w:rsidR="00FF0E8D" w:rsidRPr="00FF0E8D" w:rsidRDefault="00FF0E8D" w:rsidP="00FF0E8D">
      <w:pPr>
        <w:jc w:val="both"/>
        <w:rPr>
          <w:rFonts w:ascii="Arial" w:hAnsi="Arial"/>
          <w:sz w:val="22"/>
          <w:szCs w:val="22"/>
        </w:rPr>
      </w:pPr>
      <w:r w:rsidRPr="00FF0E8D">
        <w:rPr>
          <w:rFonts w:ascii="Arial" w:hAnsi="Arial"/>
          <w:sz w:val="22"/>
          <w:szCs w:val="22"/>
        </w:rPr>
        <w:t xml:space="preserve">In dieser Aufgabe wird eine Länge bestimmt. Damit zählt die Aufgabe „Gesamtkantenlänge“ zur Leitidee </w:t>
      </w:r>
      <w:r w:rsidRPr="00FF0E8D">
        <w:rPr>
          <w:rFonts w:ascii="Arial" w:hAnsi="Arial"/>
          <w:i/>
          <w:sz w:val="22"/>
          <w:szCs w:val="22"/>
        </w:rPr>
        <w:t>Messen</w:t>
      </w:r>
      <w:r w:rsidRPr="00FF0E8D">
        <w:rPr>
          <w:rFonts w:ascii="Arial" w:hAnsi="Arial"/>
          <w:sz w:val="22"/>
          <w:szCs w:val="22"/>
        </w:rPr>
        <w:t> (L2).</w:t>
      </w:r>
    </w:p>
    <w:p w:rsidR="00FF0E8D" w:rsidRPr="00FF0E8D" w:rsidRDefault="00FF0E8D" w:rsidP="00FF0E8D">
      <w:pPr>
        <w:jc w:val="both"/>
        <w:rPr>
          <w:rFonts w:ascii="Arial" w:hAnsi="Arial"/>
          <w:sz w:val="22"/>
          <w:szCs w:val="22"/>
        </w:rPr>
      </w:pPr>
    </w:p>
    <w:p w:rsidR="00FF0E8D" w:rsidRPr="00FF0E8D" w:rsidRDefault="00FF0E8D" w:rsidP="00FF0E8D">
      <w:pPr>
        <w:jc w:val="both"/>
        <w:rPr>
          <w:rFonts w:ascii="Arial" w:hAnsi="Arial"/>
          <w:sz w:val="22"/>
          <w:szCs w:val="22"/>
        </w:rPr>
      </w:pPr>
      <w:r w:rsidRPr="00FF0E8D">
        <w:rPr>
          <w:rFonts w:ascii="Arial" w:hAnsi="Arial"/>
          <w:sz w:val="22"/>
          <w:szCs w:val="22"/>
        </w:rPr>
        <w:t xml:space="preserve">Schülerinnen und Schüler nutzen hier das Schrägbild als Informationsquelle. Daher wird die Kompetenz </w:t>
      </w:r>
      <w:r w:rsidRPr="00FF0E8D">
        <w:rPr>
          <w:rFonts w:ascii="Arial" w:hAnsi="Arial"/>
          <w:i/>
          <w:sz w:val="22"/>
          <w:szCs w:val="22"/>
        </w:rPr>
        <w:t>Mathematische Darstellungen verwenden</w:t>
      </w:r>
      <w:r w:rsidRPr="00FF0E8D">
        <w:rPr>
          <w:rFonts w:ascii="Arial" w:hAnsi="Arial"/>
          <w:sz w:val="22"/>
          <w:szCs w:val="22"/>
        </w:rPr>
        <w:t> (K4) verlangt. Zur Berechnung der Gesamtkantenlänge kann ein Term verwendet werden (</w:t>
      </w:r>
      <w:r w:rsidRPr="00FF0E8D">
        <w:rPr>
          <w:rFonts w:ascii="Arial" w:hAnsi="Arial"/>
          <w:position w:val="-10"/>
          <w:sz w:val="22"/>
          <w:szCs w:val="22"/>
        </w:rPr>
        <w:object w:dxaOrig="260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30.45pt;height:14.95pt" o:ole="">
            <v:imagedata r:id="rId8" o:title=""/>
          </v:shape>
          <o:OLEObject Type="Embed" ProgID="Equation.DSMT4" ShapeID="_x0000_i1037" DrawAspect="Content" ObjectID="_1814854622" r:id="rId9"/>
        </w:object>
      </w:r>
      <w:r w:rsidRPr="00FF0E8D">
        <w:rPr>
          <w:rFonts w:ascii="Arial" w:hAnsi="Arial"/>
          <w:sz w:val="22"/>
          <w:szCs w:val="22"/>
        </w:rPr>
        <w:t xml:space="preserve">). Daher wird auch die Kompetenz </w:t>
      </w:r>
      <w:r w:rsidRPr="00FF0E8D">
        <w:rPr>
          <w:rFonts w:ascii="Arial" w:hAnsi="Arial"/>
          <w:i/>
          <w:sz w:val="22"/>
          <w:szCs w:val="22"/>
        </w:rPr>
        <w:t>Mit symbolischen, formalen und technischen Elementen der Mathematik umgehen</w:t>
      </w:r>
      <w:r w:rsidRPr="00FF0E8D">
        <w:rPr>
          <w:rFonts w:ascii="Arial" w:hAnsi="Arial"/>
          <w:sz w:val="22"/>
          <w:szCs w:val="22"/>
        </w:rPr>
        <w:t> (K5) gefordert.</w:t>
      </w:r>
    </w:p>
    <w:p w:rsidR="00FF0E8D" w:rsidRPr="00FF0E8D" w:rsidRDefault="00FF0E8D" w:rsidP="00FF0E8D">
      <w:pPr>
        <w:jc w:val="both"/>
        <w:rPr>
          <w:rFonts w:ascii="Arial" w:hAnsi="Arial"/>
          <w:sz w:val="22"/>
          <w:szCs w:val="22"/>
        </w:rPr>
      </w:pPr>
    </w:p>
    <w:p w:rsidR="00FF0E8D" w:rsidRPr="00FF0E8D" w:rsidRDefault="00FF0E8D" w:rsidP="00FF0E8D">
      <w:pPr>
        <w:jc w:val="both"/>
        <w:rPr>
          <w:rFonts w:ascii="Arial" w:hAnsi="Arial"/>
          <w:sz w:val="22"/>
          <w:szCs w:val="22"/>
        </w:rPr>
      </w:pPr>
      <w:r w:rsidRPr="00FF0E8D">
        <w:rPr>
          <w:rFonts w:ascii="Arial" w:hAnsi="Arial"/>
          <w:sz w:val="22"/>
          <w:szCs w:val="22"/>
        </w:rPr>
        <w:t>In der Aufgabe „Gesamtkantenlänge“ wird eine vertraute Darstellung genutzt. Die Berechnung der Gesamtkantenlänge gleicht einem Routineverfahren. Daher wird diese Aufgabe dem Anforderungsbereich I zugeordnet.</w:t>
      </w:r>
    </w:p>
    <w:p w:rsidR="00694A63" w:rsidRPr="00694A63" w:rsidRDefault="00694A63" w:rsidP="00694A63">
      <w:pPr>
        <w:pStyle w:val="IQB-Teilaufgabentitel"/>
        <w:rPr>
          <w:b/>
        </w:rPr>
      </w:pPr>
      <w:r w:rsidRPr="00694A63">
        <w:rPr>
          <w:b/>
        </w:rPr>
        <w:t>Anregungen für den Unterricht</w:t>
      </w:r>
    </w:p>
    <w:p w:rsidR="00FF0E8D" w:rsidRPr="00FF0E8D" w:rsidRDefault="00FF0E8D" w:rsidP="00FF0E8D">
      <w:pPr>
        <w:jc w:val="both"/>
        <w:rPr>
          <w:rFonts w:ascii="Arial" w:hAnsi="Arial"/>
          <w:sz w:val="22"/>
          <w:szCs w:val="22"/>
        </w:rPr>
      </w:pPr>
      <w:r w:rsidRPr="00FF0E8D">
        <w:rPr>
          <w:rFonts w:ascii="Arial" w:hAnsi="Arial"/>
          <w:sz w:val="22"/>
          <w:szCs w:val="22"/>
        </w:rPr>
        <w:t xml:space="preserve">In der Regel wird im Geometrieunterricht die Flächeninhalts- und Volumenberechnung mit arithmetischen und algebraischen Überlegungen in Verbindung gebracht. So werden beispielweise Formeln verwendet durch Einsetzen oder Umstellen derselben. Formeln zur Berechnung von Flächeninhalten und Volumina weitgehend selbständig zu entdecken fällt vermutlich vielen Schülerinnen und Schülern schwer. Stellt man hingegen die Verbindung zwischen Geometrie, Arithmetik und Algebra durch die Berechnung der Gesamtkantenlänge von bestimmten Polyedern her, gelingt dies vermutlich leichter, da lediglich ein eindimensionaler Aspekt der Körper betrachtet wird. Dabei kann die Aufgabe „Gesamtkantenlänge“ dazu genutzt werden, die eigenständige Entwicklung von Formeln zur Bestimmung der Gesamtkantenlänge verschiedener Polyeder anzuregen. Der mathematische Zusammenhang bietet sich damit an, Variablen einzuführen oder den Umgang mit Variablen zu festigen. Auf diese Weise wird ein Beitrag dazu geleistet, die Kompetenz </w:t>
      </w:r>
      <w:r w:rsidRPr="00FF0E8D">
        <w:rPr>
          <w:rFonts w:ascii="Arial" w:hAnsi="Arial"/>
          <w:i/>
          <w:sz w:val="22"/>
          <w:szCs w:val="22"/>
        </w:rPr>
        <w:t>Mit symbolischen, formalen und technischen Elementen der Mathematik umgehen</w:t>
      </w:r>
      <w:r w:rsidRPr="00FF0E8D">
        <w:rPr>
          <w:rFonts w:ascii="Arial" w:hAnsi="Arial"/>
          <w:sz w:val="22"/>
          <w:szCs w:val="22"/>
        </w:rPr>
        <w:t> (K5) langfristig zu entwickeln.</w:t>
      </w:r>
    </w:p>
    <w:p w:rsidR="00FF0E8D" w:rsidRPr="00FF0E8D" w:rsidRDefault="00FF0E8D" w:rsidP="00FF0E8D">
      <w:pPr>
        <w:jc w:val="both"/>
        <w:rPr>
          <w:rFonts w:ascii="Arial" w:hAnsi="Arial"/>
          <w:sz w:val="22"/>
          <w:szCs w:val="22"/>
        </w:rPr>
      </w:pPr>
    </w:p>
    <w:p w:rsidR="00FF0E8D" w:rsidRPr="00FF0E8D" w:rsidRDefault="00FF0E8D" w:rsidP="00FF0E8D">
      <w:pPr>
        <w:jc w:val="both"/>
        <w:rPr>
          <w:rFonts w:ascii="Arial" w:hAnsi="Arial"/>
          <w:sz w:val="22"/>
          <w:szCs w:val="22"/>
        </w:rPr>
      </w:pPr>
      <w:r w:rsidRPr="00FF0E8D">
        <w:rPr>
          <w:rFonts w:ascii="Arial" w:hAnsi="Arial"/>
          <w:sz w:val="22"/>
          <w:szCs w:val="22"/>
        </w:rPr>
        <w:t xml:space="preserve">Werden die Kantenlängen des Quaders mit a, b und c bezeichnet, führt die Berechnung der Gesamtkantenlänge eines Quaders auf die Formel </w:t>
      </w:r>
      <w:r w:rsidRPr="00FF0E8D">
        <w:rPr>
          <w:rFonts w:ascii="Arial" w:hAnsi="Arial"/>
          <w:position w:val="-10"/>
          <w:sz w:val="22"/>
          <w:szCs w:val="22"/>
        </w:rPr>
        <w:object w:dxaOrig="1680" w:dyaOrig="300">
          <v:shape id="_x0000_i1079" type="#_x0000_t75" style="width:84.1pt;height:14.95pt" o:ole="">
            <v:imagedata r:id="rId10" o:title=""/>
          </v:shape>
          <o:OLEObject Type="Embed" ProgID="Equation.DSMT4" ShapeID="_x0000_i1079" DrawAspect="Content" ObjectID="_1814854623" r:id="rId11"/>
        </w:object>
      </w:r>
      <w:r w:rsidRPr="00FF0E8D">
        <w:rPr>
          <w:rFonts w:ascii="Arial" w:hAnsi="Arial"/>
          <w:sz w:val="22"/>
          <w:szCs w:val="22"/>
        </w:rPr>
        <w:t>. Im Unterricht können Schülerinnen und Schüler aufgefordert werden diese Formel zu entwickeln. Anschließend werden sie aufgefordert für andere Polyeder Formeln zur Berechnung der Gesamtkantenlänge zu entwickeln. Hier liegt der Würfel nahe (</w:t>
      </w:r>
      <w:r w:rsidRPr="00FF0E8D">
        <w:rPr>
          <w:rFonts w:ascii="Arial" w:hAnsi="Arial"/>
          <w:position w:val="-6"/>
          <w:sz w:val="22"/>
          <w:szCs w:val="22"/>
        </w:rPr>
        <w:object w:dxaOrig="940" w:dyaOrig="260">
          <v:shape id="_x0000_i1080" type="#_x0000_t75" style="width:47.05pt;height:12.85pt" o:ole="">
            <v:imagedata r:id="rId12" o:title=""/>
          </v:shape>
          <o:OLEObject Type="Embed" ProgID="Equation.DSMT4" ShapeID="_x0000_i1080" DrawAspect="Content" ObjectID="_1814854624" r:id="rId13"/>
        </w:object>
      </w:r>
      <w:r w:rsidRPr="00FF0E8D">
        <w:rPr>
          <w:rFonts w:ascii="Arial" w:hAnsi="Arial"/>
          <w:sz w:val="22"/>
          <w:szCs w:val="22"/>
        </w:rPr>
        <w:t>), aber auch ein Quader mit quadratischer Grundfläche</w:t>
      </w:r>
    </w:p>
    <w:p w:rsidR="00FF0E8D" w:rsidRPr="00FF0E8D" w:rsidRDefault="00FF0E8D" w:rsidP="00FF0E8D">
      <w:pPr>
        <w:jc w:val="both"/>
        <w:rPr>
          <w:rFonts w:ascii="Arial" w:hAnsi="Arial"/>
          <w:sz w:val="22"/>
          <w:szCs w:val="22"/>
        </w:rPr>
      </w:pPr>
      <w:r w:rsidRPr="00FF0E8D">
        <w:rPr>
          <w:rFonts w:ascii="Arial" w:hAnsi="Arial"/>
          <w:sz w:val="22"/>
          <w:szCs w:val="22"/>
        </w:rPr>
        <w:t>(</w:t>
      </w:r>
      <w:r w:rsidRPr="00FF0E8D">
        <w:rPr>
          <w:rFonts w:ascii="Arial" w:hAnsi="Arial"/>
          <w:position w:val="-6"/>
          <w:sz w:val="22"/>
          <w:szCs w:val="22"/>
        </w:rPr>
        <w:object w:dxaOrig="1440" w:dyaOrig="260">
          <v:shape id="_x0000_i1081" type="#_x0000_t75" style="width:1in;height:12.85pt" o:ole="">
            <v:imagedata r:id="rId14" o:title=""/>
          </v:shape>
          <o:OLEObject Type="Embed" ProgID="Equation.DSMT4" ShapeID="_x0000_i1081" DrawAspect="Content" ObjectID="_1814854625" r:id="rId15"/>
        </w:object>
      </w:r>
      <w:r w:rsidRPr="00FF0E8D">
        <w:rPr>
          <w:rFonts w:ascii="Arial" w:hAnsi="Arial"/>
          <w:sz w:val="22"/>
          <w:szCs w:val="22"/>
        </w:rPr>
        <w:t xml:space="preserve">) oder andere Prismen mit regelmäßigen Grundflächen sind denkbar. </w:t>
      </w:r>
    </w:p>
    <w:p w:rsidR="00FF0E8D" w:rsidRPr="00FF0E8D" w:rsidRDefault="00FF0E8D" w:rsidP="00FF0E8D">
      <w:pPr>
        <w:jc w:val="both"/>
        <w:rPr>
          <w:rFonts w:ascii="Arial" w:hAnsi="Arial"/>
          <w:sz w:val="22"/>
          <w:szCs w:val="22"/>
        </w:rPr>
      </w:pPr>
    </w:p>
    <w:p w:rsidR="00FF0E8D" w:rsidRPr="00FF0E8D" w:rsidRDefault="00FF0E8D" w:rsidP="00FF0E8D">
      <w:pPr>
        <w:jc w:val="both"/>
        <w:rPr>
          <w:rFonts w:ascii="Arial" w:hAnsi="Arial"/>
          <w:sz w:val="22"/>
          <w:szCs w:val="22"/>
        </w:rPr>
      </w:pPr>
      <w:r w:rsidRPr="00FF0E8D">
        <w:rPr>
          <w:rFonts w:ascii="Arial" w:hAnsi="Arial"/>
          <w:sz w:val="22"/>
          <w:szCs w:val="22"/>
        </w:rPr>
        <w:t>Es bieten sich außerdem regelmäßige Pyramiden an wie Tetraeder (</w:t>
      </w:r>
      <w:r w:rsidRPr="00FF0E8D">
        <w:rPr>
          <w:rFonts w:ascii="Arial" w:hAnsi="Arial"/>
          <w:position w:val="-6"/>
          <w:sz w:val="22"/>
          <w:szCs w:val="22"/>
        </w:rPr>
        <w:object w:dxaOrig="840" w:dyaOrig="260">
          <v:shape id="_x0000_i1082" type="#_x0000_t75" style="width:42.05pt;height:12.85pt" o:ole="">
            <v:imagedata r:id="rId16" o:title=""/>
          </v:shape>
          <o:OLEObject Type="Embed" ProgID="Equation.DSMT4" ShapeID="_x0000_i1082" DrawAspect="Content" ObjectID="_1814854626" r:id="rId17"/>
        </w:object>
      </w:r>
      <w:r w:rsidRPr="00FF0E8D">
        <w:rPr>
          <w:rFonts w:ascii="Arial" w:hAnsi="Arial"/>
          <w:sz w:val="22"/>
          <w:szCs w:val="22"/>
        </w:rPr>
        <w:t>), quadratische Pyramiden (</w:t>
      </w:r>
      <w:r w:rsidRPr="00FF0E8D">
        <w:rPr>
          <w:rFonts w:ascii="Arial" w:hAnsi="Arial"/>
          <w:position w:val="-6"/>
          <w:sz w:val="22"/>
          <w:szCs w:val="22"/>
        </w:rPr>
        <w:object w:dxaOrig="1440" w:dyaOrig="260">
          <v:shape id="_x0000_i1083" type="#_x0000_t75" style="width:1in;height:12.85pt" o:ole="">
            <v:imagedata r:id="rId18" o:title=""/>
          </v:shape>
          <o:OLEObject Type="Embed" ProgID="Equation.DSMT4" ShapeID="_x0000_i1083" DrawAspect="Content" ObjectID="_1814854627" r:id="rId19"/>
        </w:object>
      </w:r>
      <w:r w:rsidRPr="00FF0E8D">
        <w:rPr>
          <w:rFonts w:ascii="Arial" w:hAnsi="Arial"/>
          <w:sz w:val="22"/>
          <w:szCs w:val="22"/>
        </w:rPr>
        <w:t>) und regelmäßige fünfseitige Pyramiden (</w:t>
      </w:r>
      <w:r w:rsidRPr="00FF0E8D">
        <w:rPr>
          <w:rFonts w:ascii="Arial" w:hAnsi="Arial"/>
          <w:position w:val="-6"/>
          <w:sz w:val="22"/>
          <w:szCs w:val="22"/>
        </w:rPr>
        <w:object w:dxaOrig="1440" w:dyaOrig="260">
          <v:shape id="_x0000_i1084" type="#_x0000_t75" style="width:1in;height:12.85pt" o:ole="">
            <v:imagedata r:id="rId20" o:title=""/>
          </v:shape>
          <o:OLEObject Type="Embed" ProgID="Equation.DSMT4" ShapeID="_x0000_i1084" DrawAspect="Content" ObjectID="_1814854628" r:id="rId21"/>
        </w:object>
      </w:r>
      <w:r w:rsidRPr="00FF0E8D">
        <w:rPr>
          <w:rFonts w:ascii="Arial" w:hAnsi="Arial"/>
          <w:sz w:val="22"/>
          <w:szCs w:val="22"/>
        </w:rPr>
        <w:t xml:space="preserve">). In diesem Zusammenhang kann auch der Fall untersucht werden, bei dem die Seitenflächen gleichseitige Dreiecke sind. </w:t>
      </w:r>
    </w:p>
    <w:p w:rsidR="00FF0E8D" w:rsidRPr="00FF0E8D" w:rsidRDefault="00FF0E8D" w:rsidP="00FF0E8D">
      <w:pPr>
        <w:jc w:val="both"/>
        <w:rPr>
          <w:rFonts w:ascii="Arial" w:hAnsi="Arial"/>
          <w:sz w:val="22"/>
          <w:szCs w:val="22"/>
        </w:rPr>
      </w:pPr>
    </w:p>
    <w:p w:rsidR="00FF0E8D" w:rsidRPr="00FF0E8D" w:rsidRDefault="00FF0E8D" w:rsidP="00FF0E8D">
      <w:pPr>
        <w:jc w:val="both"/>
        <w:rPr>
          <w:rFonts w:ascii="Arial" w:hAnsi="Arial"/>
          <w:sz w:val="22"/>
          <w:szCs w:val="22"/>
        </w:rPr>
      </w:pPr>
      <w:r w:rsidRPr="00FF0E8D">
        <w:rPr>
          <w:rFonts w:ascii="Arial" w:hAnsi="Arial"/>
          <w:sz w:val="22"/>
          <w:szCs w:val="22"/>
        </w:rPr>
        <w:lastRenderedPageBreak/>
        <w:t>Die geometrischen Objekte sollten den Schülerinnen und Schülern auch als Modelle zum Anfassen zur Verfügung gestellt werden. Auf diese Weise kann der Übergang von einer enaktiven Repräsentation der Kantenlängenberechnung zu einer symbolischen angeregt werden. Werden die geometrischen Objekte lediglich als Schrägbild dargestellt, wird der Übergang von einer ikonischen zu einer symbolischen Repräsentation angeregt.</w:t>
      </w:r>
    </w:p>
    <w:p w:rsidR="00694A63" w:rsidRPr="005B2F65" w:rsidRDefault="00694A63" w:rsidP="00FF0E8D">
      <w:pPr>
        <w:jc w:val="both"/>
        <w:rPr>
          <w:sz w:val="22"/>
          <w:szCs w:val="22"/>
        </w:rPr>
      </w:pPr>
      <w:bookmarkStart w:id="0" w:name="_GoBack"/>
      <w:bookmarkEnd w:id="0"/>
    </w:p>
    <w:sectPr w:rsidR="00694A63" w:rsidRPr="005B2F65" w:rsidSect="00DB65DC">
      <w:headerReference w:type="even" r:id="rId22"/>
      <w:headerReference w:type="default" r:id="rId23"/>
      <w:footerReference w:type="even" r:id="rId24"/>
      <w:footerReference w:type="default" r:id="rId25"/>
      <w:headerReference w:type="first" r:id="rId26"/>
      <w:footerReference w:type="first" r:id="rId2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28B47117-1696-4225-8C52-50A671A7C21B}"/>
    <w:embedBold r:id="rId2" w:fontKey="{0D4C71CD-25BB-4FE0-9C3B-9511AF39B726}"/>
    <w:embedItalic r:id="rId3" w:fontKey="{E100D24C-E602-43C9-9649-9C9E6E41320E}"/>
    <w:embedBoldItalic r:id="rId4" w:fontKey="{D9C48411-76FC-4CB9-80D4-14CD9B86184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7E6EB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0E8D"/>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header" Target="header1.xml"/><Relationship Id="rId27"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577E66-AB5E-4B9B-86AD-C02B5359A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416</Words>
  <Characters>3035</Characters>
  <Application>Microsoft Office Word</Application>
  <DocSecurity>0</DocSecurity>
  <Lines>58</Lines>
  <Paragraphs>21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2025-07-24T07:30:00Z</dcterms:created>
  <dcterms:modified xsi:type="dcterms:W3CDTF">2025-07-24T07:30:00Z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